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1CA2" w14:textId="77777777" w:rsidR="0033734F" w:rsidRPr="00115753" w:rsidRDefault="0033734F">
      <w:pPr>
        <w:rPr>
          <w:szCs w:val="24"/>
          <w:lang w:val="bg-BG"/>
        </w:rPr>
      </w:pPr>
    </w:p>
    <w:p w14:paraId="0E785CF4" w14:textId="47537527" w:rsidR="00D341BE" w:rsidRPr="00862E73" w:rsidRDefault="00D341BE" w:rsidP="0044626E">
      <w:pPr>
        <w:spacing w:after="120"/>
        <w:jc w:val="center"/>
        <w:rPr>
          <w:b/>
          <w:snapToGrid w:val="0"/>
          <w:sz w:val="28"/>
          <w:szCs w:val="28"/>
          <w:lang w:val="en-US"/>
        </w:rPr>
      </w:pPr>
      <w:r w:rsidRPr="00862E73">
        <w:rPr>
          <w:b/>
          <w:snapToGrid w:val="0"/>
          <w:sz w:val="28"/>
          <w:szCs w:val="28"/>
          <w:lang w:val="bg-BG"/>
        </w:rPr>
        <w:t xml:space="preserve">Техническа спецификация на предвидените за закупуване </w:t>
      </w:r>
      <w:r w:rsidR="00115753" w:rsidRPr="00862E73">
        <w:rPr>
          <w:b/>
          <w:snapToGrid w:val="0"/>
          <w:sz w:val="28"/>
          <w:szCs w:val="28"/>
          <w:lang w:val="bg-BG"/>
        </w:rPr>
        <w:t>ДМА</w:t>
      </w:r>
      <w:r w:rsidRPr="00862E73">
        <w:rPr>
          <w:b/>
          <w:snapToGrid w:val="0"/>
          <w:sz w:val="28"/>
          <w:szCs w:val="28"/>
          <w:lang w:val="bg-BG"/>
        </w:rPr>
        <w:t xml:space="preserve"> </w:t>
      </w:r>
    </w:p>
    <w:p w14:paraId="3A92B7E9" w14:textId="77777777" w:rsidR="00D341BE" w:rsidRPr="00862E73" w:rsidRDefault="00D341BE" w:rsidP="00D341BE">
      <w:pPr>
        <w:rPr>
          <w:b/>
          <w:snapToGrid w:val="0"/>
          <w:szCs w:val="24"/>
          <w:lang w:val="bg-BG"/>
        </w:rPr>
      </w:pPr>
    </w:p>
    <w:p w14:paraId="29A6331F" w14:textId="77777777" w:rsidR="0044626E" w:rsidRPr="00862E73" w:rsidRDefault="0044626E" w:rsidP="00D341BE">
      <w:pPr>
        <w:rPr>
          <w:b/>
          <w:snapToGrid w:val="0"/>
          <w:szCs w:val="24"/>
          <w:lang w:val="bg-BG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10"/>
        <w:gridCol w:w="1579"/>
        <w:gridCol w:w="8997"/>
      </w:tblGrid>
      <w:tr w:rsidR="0083688C" w:rsidRPr="00862E73" w14:paraId="35F68BC3" w14:textId="77777777" w:rsidTr="0083688C">
        <w:trPr>
          <w:trHeight w:val="597"/>
        </w:trPr>
        <w:tc>
          <w:tcPr>
            <w:tcW w:w="459" w:type="dxa"/>
            <w:shd w:val="clear" w:color="auto" w:fill="E0E0E0"/>
            <w:vAlign w:val="center"/>
          </w:tcPr>
          <w:p w14:paraId="6803FF0E" w14:textId="77777777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910" w:type="dxa"/>
            <w:shd w:val="clear" w:color="auto" w:fill="E0E0E0"/>
            <w:vAlign w:val="center"/>
          </w:tcPr>
          <w:p w14:paraId="7C5CB145" w14:textId="77777777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579" w:type="dxa"/>
            <w:shd w:val="clear" w:color="auto" w:fill="E0E0E0"/>
            <w:vAlign w:val="center"/>
          </w:tcPr>
          <w:p w14:paraId="0B09A792" w14:textId="2BFAE611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Количество</w:t>
            </w:r>
          </w:p>
        </w:tc>
        <w:tc>
          <w:tcPr>
            <w:tcW w:w="8997" w:type="dxa"/>
            <w:shd w:val="clear" w:color="auto" w:fill="E0E0E0"/>
            <w:vAlign w:val="center"/>
          </w:tcPr>
          <w:p w14:paraId="0C6E3720" w14:textId="77777777" w:rsidR="0083688C" w:rsidRPr="00862E73" w:rsidRDefault="0083688C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Минимални технически и/или функционални характеристики</w:t>
            </w:r>
            <w:r w:rsidRPr="00862E73">
              <w:rPr>
                <w:rStyle w:val="FootnoteReference"/>
                <w:b/>
                <w:snapToGrid w:val="0"/>
                <w:szCs w:val="24"/>
                <w:lang w:val="bg-BG"/>
              </w:rPr>
              <w:footnoteReference w:id="1"/>
            </w:r>
          </w:p>
        </w:tc>
      </w:tr>
      <w:tr w:rsidR="0083688C" w:rsidRPr="00862E73" w14:paraId="475918C8" w14:textId="77777777" w:rsidTr="0083688C">
        <w:trPr>
          <w:trHeight w:val="445"/>
        </w:trPr>
        <w:tc>
          <w:tcPr>
            <w:tcW w:w="459" w:type="dxa"/>
            <w:shd w:val="clear" w:color="auto" w:fill="auto"/>
          </w:tcPr>
          <w:p w14:paraId="4E5C828B" w14:textId="77777777" w:rsidR="0083688C" w:rsidRPr="00862E73" w:rsidRDefault="0083688C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862E7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14:paraId="4E08EC02" w14:textId="2E0A005E" w:rsidR="0083688C" w:rsidRPr="00862E73" w:rsidRDefault="00BA1A2C" w:rsidP="00B00C67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BA1A2C">
              <w:rPr>
                <w:b/>
                <w:snapToGrid w:val="0"/>
                <w:szCs w:val="24"/>
                <w:lang w:val="bg-BG"/>
              </w:rPr>
              <w:t>Челн</w:t>
            </w:r>
            <w:r w:rsidR="00B00C67">
              <w:rPr>
                <w:b/>
                <w:snapToGrid w:val="0"/>
                <w:szCs w:val="24"/>
                <w:lang w:val="bg-BG"/>
              </w:rPr>
              <w:t>и</w:t>
            </w:r>
            <w:r w:rsidRPr="00BA1A2C">
              <w:rPr>
                <w:b/>
                <w:snapToGrid w:val="0"/>
                <w:szCs w:val="24"/>
                <w:lang w:val="bg-BG"/>
              </w:rPr>
              <w:t xml:space="preserve"> товарач</w:t>
            </w:r>
            <w:r w:rsidR="00B00C67">
              <w:rPr>
                <w:b/>
                <w:snapToGrid w:val="0"/>
                <w:szCs w:val="24"/>
                <w:lang w:val="bg-BG"/>
              </w:rPr>
              <w:t>и</w:t>
            </w:r>
          </w:p>
        </w:tc>
        <w:tc>
          <w:tcPr>
            <w:tcW w:w="1579" w:type="dxa"/>
            <w:shd w:val="clear" w:color="auto" w:fill="auto"/>
          </w:tcPr>
          <w:p w14:paraId="4752D694" w14:textId="74A60BEB" w:rsidR="0083688C" w:rsidRPr="00B00C67" w:rsidRDefault="00BA1A2C" w:rsidP="00B00C67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B00C67">
              <w:rPr>
                <w:b/>
                <w:snapToGrid w:val="0"/>
                <w:szCs w:val="24"/>
                <w:lang w:val="bg-BG"/>
              </w:rPr>
              <w:t>2</w:t>
            </w:r>
            <w:r w:rsidR="009F7B7A">
              <w:rPr>
                <w:b/>
                <w:snapToGrid w:val="0"/>
                <w:szCs w:val="24"/>
                <w:lang w:val="bg-BG"/>
              </w:rPr>
              <w:t xml:space="preserve"> бр.</w:t>
            </w:r>
          </w:p>
        </w:tc>
        <w:tc>
          <w:tcPr>
            <w:tcW w:w="8997" w:type="dxa"/>
            <w:shd w:val="clear" w:color="auto" w:fill="auto"/>
          </w:tcPr>
          <w:p w14:paraId="3EF5BD17" w14:textId="2C490E1C" w:rsidR="00F151CD" w:rsidRPr="00F151CD" w:rsidRDefault="00F151CD" w:rsidP="00BA1A2C">
            <w:pPr>
              <w:tabs>
                <w:tab w:val="left" w:pos="249"/>
              </w:tabs>
              <w:jc w:val="left"/>
              <w:rPr>
                <w:i/>
                <w:iCs/>
                <w:snapToGrid w:val="0"/>
                <w:szCs w:val="24"/>
                <w:u w:val="single"/>
                <w:lang w:val="bg-BG"/>
              </w:rPr>
            </w:pPr>
            <w:r w:rsidRPr="00F151CD">
              <w:rPr>
                <w:i/>
                <w:iCs/>
                <w:snapToGrid w:val="0"/>
                <w:szCs w:val="24"/>
                <w:u w:val="single"/>
                <w:lang w:val="bg-BG"/>
              </w:rPr>
              <w:t>Минимални технически и функционални характеристики:</w:t>
            </w:r>
          </w:p>
          <w:p w14:paraId="1E7C417B" w14:textId="77777777" w:rsidR="00F151CD" w:rsidRDefault="00F151CD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</w:p>
          <w:p w14:paraId="151EB3D2" w14:textId="09AF2071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Ширина – 1920 мм.</w:t>
            </w:r>
          </w:p>
          <w:p w14:paraId="55E5305E" w14:textId="77777777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Височина – 2640 мм.</w:t>
            </w:r>
          </w:p>
          <w:p w14:paraId="547D5F03" w14:textId="77777777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Товароподемност - 2500 кг.</w:t>
            </w:r>
          </w:p>
          <w:p w14:paraId="68B2E043" w14:textId="77777777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Граничен товар на преобръщане – 4100 кг.</w:t>
            </w:r>
          </w:p>
          <w:p w14:paraId="315252F1" w14:textId="4C06DF22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Макс.</w:t>
            </w:r>
            <w:r w:rsidR="00A27A0C">
              <w:rPr>
                <w:snapToGrid w:val="0"/>
                <w:szCs w:val="24"/>
                <w:lang w:val="bg-BG"/>
              </w:rPr>
              <w:t xml:space="preserve"> </w:t>
            </w:r>
            <w:r w:rsidRPr="005F1690">
              <w:rPr>
                <w:snapToGrid w:val="0"/>
                <w:szCs w:val="24"/>
                <w:lang w:val="bg-BG"/>
              </w:rPr>
              <w:t>височина на товарене  – 3120 мм.</w:t>
            </w:r>
          </w:p>
          <w:p w14:paraId="3E44B0E8" w14:textId="77777777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Скорост на движение - 20  км./ч</w:t>
            </w:r>
          </w:p>
          <w:p w14:paraId="6C438773" w14:textId="77777777" w:rsidR="00BA1A2C" w:rsidRPr="005F1690" w:rsidRDefault="00BA1A2C" w:rsidP="00BA1A2C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Визуално показване позицията на кофата и вилиците</w:t>
            </w:r>
          </w:p>
          <w:p w14:paraId="4EC4995A" w14:textId="77777777" w:rsidR="00E62CCD" w:rsidRDefault="00BA1A2C" w:rsidP="00E62CCD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5F1690">
              <w:rPr>
                <w:snapToGrid w:val="0"/>
                <w:szCs w:val="24"/>
                <w:lang w:val="bg-BG"/>
              </w:rPr>
              <w:t>•</w:t>
            </w:r>
            <w:r w:rsidRPr="005F1690">
              <w:rPr>
                <w:snapToGrid w:val="0"/>
                <w:szCs w:val="24"/>
                <w:lang w:val="bg-BG"/>
              </w:rPr>
              <w:tab/>
              <w:t>Климатизация</w:t>
            </w:r>
          </w:p>
          <w:p w14:paraId="4061A967" w14:textId="6053C382" w:rsidR="0083688C" w:rsidRPr="00E62CCD" w:rsidRDefault="00E62CCD" w:rsidP="00E62CCD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  <w:r w:rsidRPr="00E62CCD">
              <w:rPr>
                <w:snapToGrid w:val="0"/>
                <w:szCs w:val="24"/>
                <w:lang w:val="bg-BG"/>
              </w:rPr>
              <w:t>•</w:t>
            </w:r>
            <w:r>
              <w:rPr>
                <w:snapToGrid w:val="0"/>
                <w:szCs w:val="24"/>
                <w:lang w:val="bg-BG"/>
              </w:rPr>
              <w:t xml:space="preserve">   </w:t>
            </w:r>
            <w:r w:rsidR="00BA1A2C" w:rsidRPr="00E62CCD">
              <w:rPr>
                <w:snapToGrid w:val="0"/>
                <w:szCs w:val="24"/>
                <w:lang w:val="bg-BG"/>
              </w:rPr>
              <w:t>Система за дистанционно проследяване и мониторинг</w:t>
            </w:r>
          </w:p>
          <w:p w14:paraId="38F3A14F" w14:textId="77777777" w:rsidR="00F151CD" w:rsidRDefault="00F151CD" w:rsidP="00F151CD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</w:p>
          <w:p w14:paraId="5BE2508A" w14:textId="77777777" w:rsidR="00F151CD" w:rsidRDefault="00F151CD" w:rsidP="00F151CD">
            <w:pPr>
              <w:tabs>
                <w:tab w:val="left" w:pos="249"/>
              </w:tabs>
              <w:jc w:val="left"/>
              <w:rPr>
                <w:i/>
                <w:iCs/>
                <w:snapToGrid w:val="0"/>
                <w:szCs w:val="24"/>
                <w:u w:val="single"/>
                <w:lang w:val="bg-BG"/>
              </w:rPr>
            </w:pPr>
            <w:r w:rsidRPr="00F151CD">
              <w:rPr>
                <w:i/>
                <w:iCs/>
                <w:snapToGrid w:val="0"/>
                <w:szCs w:val="24"/>
                <w:u w:val="single"/>
                <w:lang w:val="bg-BG"/>
              </w:rPr>
              <w:t>Допълнителни технически и функционални характеристики – предмет на оценка, но не са задължителни и не водят до отпадане на кандидата:</w:t>
            </w:r>
          </w:p>
          <w:p w14:paraId="1E11653D" w14:textId="77777777" w:rsidR="0023775C" w:rsidRDefault="0023775C" w:rsidP="00F151CD">
            <w:pPr>
              <w:tabs>
                <w:tab w:val="left" w:pos="249"/>
              </w:tabs>
              <w:jc w:val="left"/>
              <w:rPr>
                <w:i/>
                <w:iCs/>
                <w:snapToGrid w:val="0"/>
                <w:szCs w:val="24"/>
                <w:u w:val="single"/>
                <w:lang w:val="bg-BG"/>
              </w:rPr>
            </w:pPr>
          </w:p>
          <w:p w14:paraId="5ABA2B7F" w14:textId="77777777" w:rsidR="000D0A20" w:rsidRPr="000D0A20" w:rsidRDefault="000D0A20" w:rsidP="000D0A20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jc w:val="left"/>
              <w:rPr>
                <w:iCs/>
                <w:color w:val="00000A"/>
                <w:lang w:val="bg-BG"/>
              </w:rPr>
            </w:pPr>
            <w:r w:rsidRPr="000D0A20">
              <w:rPr>
                <w:rFonts w:hint="eastAsia"/>
                <w:iCs/>
                <w:color w:val="00000A"/>
                <w:lang w:val="bg-BG"/>
              </w:rPr>
              <w:t>Палетни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вилици</w:t>
            </w:r>
            <w:r w:rsidRPr="000D0A20">
              <w:rPr>
                <w:iCs/>
                <w:color w:val="00000A"/>
                <w:lang w:val="bg-BG"/>
              </w:rPr>
              <w:t xml:space="preserve"> 1000 мм.;</w:t>
            </w:r>
          </w:p>
          <w:p w14:paraId="725CBDF0" w14:textId="77777777" w:rsidR="000D0A20" w:rsidRPr="000D0A20" w:rsidRDefault="000D0A20" w:rsidP="000D0A20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jc w:val="left"/>
              <w:rPr>
                <w:iCs/>
                <w:color w:val="00000A"/>
                <w:lang w:val="bg-BG"/>
              </w:rPr>
            </w:pPr>
            <w:r w:rsidRPr="000D0A20">
              <w:rPr>
                <w:rFonts w:hint="eastAsia"/>
                <w:iCs/>
                <w:color w:val="00000A"/>
                <w:lang w:val="bg-BG"/>
              </w:rPr>
              <w:t>Хидравлична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линия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за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допълнително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прикачно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оборудван</w:t>
            </w:r>
            <w:r w:rsidRPr="000D0A20">
              <w:rPr>
                <w:rFonts w:hint="eastAsia"/>
                <w:iCs/>
                <w:color w:val="00000A"/>
                <w:lang w:val="en-US"/>
              </w:rPr>
              <w:t>е</w:t>
            </w:r>
            <w:r w:rsidRPr="000D0A20">
              <w:rPr>
                <w:iCs/>
                <w:color w:val="00000A"/>
                <w:lang w:val="bg-BG"/>
              </w:rPr>
              <w:t>;</w:t>
            </w:r>
          </w:p>
          <w:p w14:paraId="6AEF9706" w14:textId="0D1D0817" w:rsidR="000D0A20" w:rsidRPr="000D0A20" w:rsidRDefault="000D0A20" w:rsidP="000D0A20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jc w:val="left"/>
              <w:rPr>
                <w:iCs/>
                <w:color w:val="00000A"/>
                <w:lang w:val="bg-BG"/>
              </w:rPr>
            </w:pPr>
            <w:r w:rsidRPr="000D0A20">
              <w:rPr>
                <w:rFonts w:hint="eastAsia"/>
                <w:iCs/>
                <w:color w:val="00000A"/>
                <w:lang w:val="bg-BG"/>
              </w:rPr>
              <w:t>Хидравличен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бързосменник</w:t>
            </w:r>
            <w:r w:rsidRPr="000D0A20">
              <w:rPr>
                <w:iCs/>
                <w:color w:val="00000A"/>
                <w:lang w:val="bg-BG"/>
              </w:rPr>
              <w:t>;</w:t>
            </w:r>
          </w:p>
          <w:p w14:paraId="04819E52" w14:textId="0FC24582" w:rsidR="000D0A20" w:rsidRPr="000D0A20" w:rsidRDefault="00681167" w:rsidP="000D0A20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jc w:val="left"/>
              <w:rPr>
                <w:iCs/>
                <w:color w:val="00000A"/>
                <w:lang w:val="bg-BG"/>
              </w:rPr>
            </w:pPr>
            <w:r>
              <w:rPr>
                <w:iCs/>
                <w:color w:val="00000A"/>
                <w:lang w:val="bg-BG"/>
              </w:rPr>
              <w:lastRenderedPageBreak/>
              <w:t>Ъгъл на кофата в прибрано състояние спрямо повърхността мин. 5</w:t>
            </w:r>
            <w:r w:rsidR="000D0A20" w:rsidRPr="000D0A20">
              <w:rPr>
                <w:iCs/>
                <w:color w:val="00000A"/>
                <w:lang w:val="bg-BG"/>
              </w:rPr>
              <w:t xml:space="preserve">0 </w:t>
            </w:r>
            <w:r w:rsidR="000D0A20" w:rsidRPr="000D0A20">
              <w:rPr>
                <w:rFonts w:hint="eastAsia"/>
                <w:iCs/>
                <w:color w:val="00000A"/>
                <w:lang w:val="bg-BG"/>
              </w:rPr>
              <w:t>градус</w:t>
            </w:r>
            <w:r w:rsidR="000D0A20" w:rsidRPr="000D0A20">
              <w:rPr>
                <w:rFonts w:hint="eastAsia"/>
                <w:iCs/>
                <w:color w:val="00000A"/>
                <w:lang w:val="en-US"/>
              </w:rPr>
              <w:t>а</w:t>
            </w:r>
            <w:r w:rsidR="000D0A20" w:rsidRPr="000D0A20">
              <w:rPr>
                <w:iCs/>
                <w:color w:val="00000A"/>
                <w:lang w:val="bg-BG"/>
              </w:rPr>
              <w:t>;</w:t>
            </w:r>
          </w:p>
          <w:p w14:paraId="6681B7CD" w14:textId="77777777" w:rsidR="000D0A20" w:rsidRPr="000D0A20" w:rsidRDefault="000D0A20" w:rsidP="000D0A20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jc w:val="left"/>
              <w:rPr>
                <w:i/>
                <w:color w:val="00000A"/>
                <w:u w:val="single"/>
                <w:lang w:val="bg-BG"/>
              </w:rPr>
            </w:pPr>
            <w:r w:rsidRPr="000D0A20">
              <w:rPr>
                <w:rFonts w:hint="eastAsia"/>
                <w:iCs/>
                <w:color w:val="00000A"/>
                <w:lang w:val="bg-BG"/>
              </w:rPr>
              <w:t>Задвижване</w:t>
            </w:r>
            <w:r w:rsidRPr="000D0A20">
              <w:rPr>
                <w:iCs/>
                <w:color w:val="00000A"/>
                <w:lang w:val="bg-BG"/>
              </w:rPr>
              <w:t xml:space="preserve"> - 4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х</w:t>
            </w:r>
            <w:r w:rsidRPr="000D0A20">
              <w:rPr>
                <w:iCs/>
                <w:color w:val="00000A"/>
                <w:lang w:val="bg-BG"/>
              </w:rPr>
              <w:t>4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х</w:t>
            </w:r>
            <w:r w:rsidRPr="000D0A20">
              <w:rPr>
                <w:iCs/>
                <w:color w:val="00000A"/>
                <w:lang w:val="bg-BG"/>
              </w:rPr>
              <w:t xml:space="preserve">4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Хидростатично</w:t>
            </w:r>
            <w:r w:rsidRPr="000D0A20">
              <w:rPr>
                <w:iCs/>
                <w:color w:val="00000A"/>
                <w:lang w:val="bg-BG"/>
              </w:rPr>
              <w:t xml:space="preserve"> (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завиващи</w:t>
            </w:r>
            <w:r w:rsidRPr="000D0A20">
              <w:rPr>
                <w:iCs/>
                <w:color w:val="00000A"/>
                <w:lang w:val="bg-BG"/>
              </w:rPr>
              <w:t xml:space="preserve"> 4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колела</w:t>
            </w:r>
            <w:r w:rsidRPr="000D0A20">
              <w:rPr>
                <w:iCs/>
                <w:color w:val="00000A"/>
                <w:lang w:val="bg-BG"/>
              </w:rPr>
              <w:t>);</w:t>
            </w:r>
          </w:p>
          <w:p w14:paraId="08DA7F06" w14:textId="56BB3233" w:rsidR="00214F75" w:rsidRPr="000D0A20" w:rsidRDefault="000D0A20" w:rsidP="000D0A20">
            <w:pPr>
              <w:numPr>
                <w:ilvl w:val="0"/>
                <w:numId w:val="4"/>
              </w:numPr>
              <w:tabs>
                <w:tab w:val="left" w:pos="180"/>
              </w:tabs>
              <w:suppressAutoHyphens/>
              <w:jc w:val="left"/>
              <w:rPr>
                <w:i/>
                <w:color w:val="00000A"/>
                <w:u w:val="single"/>
                <w:lang w:val="bg-BG"/>
              </w:rPr>
            </w:pPr>
            <w:r w:rsidRPr="000D0A20">
              <w:rPr>
                <w:rFonts w:hint="eastAsia"/>
                <w:iCs/>
                <w:color w:val="00000A"/>
                <w:lang w:val="bg-BG"/>
              </w:rPr>
              <w:t>Постоянен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полезен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товар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независимо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от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ъгъла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на</w:t>
            </w:r>
            <w:r w:rsidRPr="000D0A20">
              <w:rPr>
                <w:iCs/>
                <w:color w:val="00000A"/>
                <w:lang w:val="bg-BG"/>
              </w:rPr>
              <w:t xml:space="preserve"> </w:t>
            </w:r>
            <w:r w:rsidRPr="000D0A20">
              <w:rPr>
                <w:rFonts w:hint="eastAsia"/>
                <w:iCs/>
                <w:color w:val="00000A"/>
                <w:lang w:val="bg-BG"/>
              </w:rPr>
              <w:t>завиване</w:t>
            </w:r>
            <w:r w:rsidRPr="000D0A20">
              <w:rPr>
                <w:iCs/>
                <w:color w:val="00000A"/>
                <w:lang w:val="bg-BG"/>
              </w:rPr>
              <w:t>.</w:t>
            </w:r>
          </w:p>
          <w:p w14:paraId="4DA1D87E" w14:textId="4D04C85E" w:rsidR="00546646" w:rsidRPr="00E62CCD" w:rsidRDefault="00546646" w:rsidP="00F151CD">
            <w:pPr>
              <w:tabs>
                <w:tab w:val="left" w:pos="249"/>
              </w:tabs>
              <w:jc w:val="left"/>
              <w:rPr>
                <w:snapToGrid w:val="0"/>
                <w:szCs w:val="24"/>
                <w:lang w:val="bg-BG"/>
              </w:rPr>
            </w:pPr>
          </w:p>
        </w:tc>
      </w:tr>
    </w:tbl>
    <w:p w14:paraId="680833D2" w14:textId="77777777" w:rsidR="00D341BE" w:rsidRDefault="00D341BE">
      <w:pPr>
        <w:rPr>
          <w:szCs w:val="24"/>
          <w:lang w:val="bg-BG"/>
        </w:rPr>
      </w:pPr>
    </w:p>
    <w:p w14:paraId="1DB8F66D" w14:textId="77777777" w:rsidR="00282596" w:rsidRDefault="00282596">
      <w:pPr>
        <w:rPr>
          <w:szCs w:val="24"/>
          <w:lang w:val="bg-BG"/>
        </w:rPr>
      </w:pPr>
    </w:p>
    <w:p w14:paraId="5BD28618" w14:textId="7DB997E8" w:rsidR="00282596" w:rsidRDefault="006A0A41" w:rsidP="006A0A41">
      <w:pPr>
        <w:rPr>
          <w:szCs w:val="24"/>
          <w:lang w:val="bg-BG"/>
        </w:rPr>
      </w:pPr>
      <w:r w:rsidRPr="006A0A41">
        <w:rPr>
          <w:b/>
          <w:u w:val="single"/>
          <w:lang w:val="bg-BG"/>
        </w:rPr>
        <w:t xml:space="preserve">С оглед спазването на изискванията на </w:t>
      </w:r>
      <w:r w:rsidR="00B17E84">
        <w:rPr>
          <w:b/>
          <w:u w:val="single"/>
          <w:lang w:val="bg-BG"/>
        </w:rPr>
        <w:t>чл. 48 на ЗОП</w:t>
      </w:r>
      <w:r w:rsidRPr="006A0A41">
        <w:rPr>
          <w:b/>
          <w:u w:val="single"/>
          <w:lang w:val="bg-BG"/>
        </w:rPr>
        <w:t xml:space="preserve"> към минимални</w:t>
      </w:r>
      <w:r>
        <w:rPr>
          <w:b/>
          <w:u w:val="single"/>
          <w:lang w:val="bg-BG"/>
        </w:rPr>
        <w:t xml:space="preserve"> и допълнителните</w:t>
      </w:r>
      <w:r w:rsidRPr="006A0A41">
        <w:rPr>
          <w:b/>
          <w:u w:val="single"/>
          <w:lang w:val="bg-BG"/>
        </w:rPr>
        <w:t xml:space="preserve"> технически и функционални характеристики, където е записана информация, насочваща към конкретен модел, източник, процес, търговска марка, патент или друго подобно, което би довело до облагодетелстването или елиминирането на определени лица или продукти в процедурата, след посочването и се добавят думите „или еквивалентно“. </w:t>
      </w:r>
      <w:r>
        <w:rPr>
          <w:b/>
          <w:u w:val="single"/>
          <w:lang w:val="bg-BG"/>
        </w:rPr>
        <w:t>Крайният получател</w:t>
      </w:r>
      <w:r w:rsidRPr="006A0A41">
        <w:rPr>
          <w:b/>
          <w:u w:val="single"/>
          <w:lang w:val="bg-BG"/>
        </w:rPr>
        <w:t xml:space="preserve"> ще допусн</w:t>
      </w:r>
      <w:r>
        <w:rPr>
          <w:b/>
          <w:u w:val="single"/>
          <w:lang w:val="bg-BG"/>
        </w:rPr>
        <w:t>е</w:t>
      </w:r>
      <w:r w:rsidRPr="006A0A41">
        <w:rPr>
          <w:b/>
          <w:u w:val="single"/>
          <w:lang w:val="bg-BG"/>
        </w:rPr>
        <w:t xml:space="preserve"> и оцен</w:t>
      </w:r>
      <w:r w:rsidR="00214F75">
        <w:rPr>
          <w:b/>
          <w:u w:val="single"/>
          <w:lang w:val="bg-BG"/>
        </w:rPr>
        <w:t>и</w:t>
      </w:r>
      <w:r w:rsidRPr="006A0A41">
        <w:rPr>
          <w:b/>
          <w:u w:val="single"/>
          <w:lang w:val="bg-BG"/>
        </w:rPr>
        <w:t xml:space="preserve"> предложени от кандидат по-добри характеристики.</w:t>
      </w:r>
    </w:p>
    <w:p w14:paraId="2FE2CAEB" w14:textId="77777777" w:rsidR="00282596" w:rsidRDefault="00282596">
      <w:pPr>
        <w:rPr>
          <w:szCs w:val="24"/>
          <w:lang w:val="bg-BG"/>
        </w:rPr>
      </w:pPr>
    </w:p>
    <w:sectPr w:rsidR="00282596" w:rsidSect="00D341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817F" w14:textId="77777777" w:rsidR="00740781" w:rsidRDefault="00740781" w:rsidP="0033734F">
      <w:r>
        <w:separator/>
      </w:r>
    </w:p>
  </w:endnote>
  <w:endnote w:type="continuationSeparator" w:id="0">
    <w:p w14:paraId="7EFCB852" w14:textId="77777777" w:rsidR="00740781" w:rsidRDefault="00740781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53274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F057E9" w14:textId="77777777" w:rsidR="001724B3" w:rsidRPr="001724B3" w:rsidRDefault="001724B3" w:rsidP="001724B3">
        <w:pPr>
          <w:pStyle w:val="Footer"/>
          <w:jc w:val="center"/>
          <w:rPr>
            <w:i/>
            <w:iCs/>
            <w:sz w:val="18"/>
            <w:szCs w:val="18"/>
            <w:lang w:val="bg-BG"/>
          </w:rPr>
        </w:pPr>
        <w:r w:rsidRPr="001724B3">
          <w:rPr>
            <w:i/>
            <w:iCs/>
            <w:sz w:val="18"/>
            <w:szCs w:val="18"/>
            <w:lang w:val="x-none"/>
          </w:rPr>
          <w:t>Проект №BG-RRP-3.004-</w:t>
        </w:r>
        <w:r w:rsidRPr="001724B3">
          <w:rPr>
            <w:i/>
            <w:iCs/>
            <w:sz w:val="18"/>
            <w:szCs w:val="18"/>
            <w:lang w:val="en-US"/>
          </w:rPr>
          <w:t>2129</w:t>
        </w:r>
        <w:r w:rsidRPr="001724B3">
          <w:rPr>
            <w:i/>
            <w:iCs/>
            <w:sz w:val="18"/>
            <w:szCs w:val="18"/>
            <w:lang w:val="x-none"/>
          </w:rPr>
          <w:t>-C01</w:t>
        </w:r>
        <w:r w:rsidRPr="001724B3">
          <w:rPr>
            <w:i/>
            <w:iCs/>
            <w:sz w:val="18"/>
            <w:szCs w:val="18"/>
            <w:lang w:val="bg-BG"/>
          </w:rPr>
          <w:t xml:space="preserve"> </w:t>
        </w:r>
        <w:r w:rsidRPr="001724B3">
          <w:rPr>
            <w:i/>
            <w:iCs/>
            <w:sz w:val="18"/>
            <w:szCs w:val="18"/>
            <w:lang w:val="x-none"/>
          </w:rPr>
          <w:t>„Технологична модернизация в предприятието“. Проектът се реализира с финансовата подкрепа на „Национален план за възстановяване и устойчивост”, съфинансиран от Европейския съюз. Цялата отговорност за съдържанието на документа се носи от „</w:t>
        </w:r>
        <w:r w:rsidRPr="001724B3">
          <w:rPr>
            <w:i/>
            <w:iCs/>
            <w:sz w:val="18"/>
            <w:szCs w:val="18"/>
            <w:lang w:val="bg-BG"/>
          </w:rPr>
          <w:t>Унитрейд - БГ</w:t>
        </w:r>
        <w:r w:rsidRPr="001724B3">
          <w:rPr>
            <w:i/>
            <w:iCs/>
            <w:sz w:val="18"/>
            <w:szCs w:val="18"/>
            <w:lang w:val="x-none"/>
          </w:rPr>
          <w:t xml:space="preserve">“ ООД и при никакви обстоятелства не може да се приема, че този документ отразява официалното становище на </w:t>
        </w:r>
        <w:r w:rsidRPr="001724B3">
          <w:rPr>
            <w:i/>
            <w:iCs/>
            <w:sz w:val="18"/>
            <w:szCs w:val="18"/>
            <w:lang w:val="bg-BG"/>
          </w:rPr>
          <w:t xml:space="preserve">ЕС </w:t>
        </w:r>
        <w:r w:rsidRPr="001724B3">
          <w:rPr>
            <w:i/>
            <w:iCs/>
            <w:sz w:val="18"/>
            <w:szCs w:val="18"/>
            <w:lang w:val="x-none"/>
          </w:rPr>
          <w:t xml:space="preserve">и </w:t>
        </w:r>
        <w:r w:rsidRPr="001724B3">
          <w:rPr>
            <w:i/>
            <w:iCs/>
            <w:sz w:val="18"/>
            <w:szCs w:val="18"/>
            <w:lang w:val="bg-BG"/>
          </w:rPr>
          <w:t>СНД</w:t>
        </w:r>
      </w:p>
      <w:p w14:paraId="6FC1D805" w14:textId="4269877F" w:rsidR="008F39DE" w:rsidRPr="008F39DE" w:rsidRDefault="008F39DE" w:rsidP="008F39DE">
        <w:pPr>
          <w:pStyle w:val="Footer"/>
          <w:jc w:val="center"/>
          <w:rPr>
            <w:i/>
            <w:iCs/>
            <w:sz w:val="18"/>
            <w:szCs w:val="18"/>
            <w:lang w:val="bg-BG"/>
          </w:rPr>
        </w:pPr>
      </w:p>
      <w:p w14:paraId="64DA1E9E" w14:textId="7A892116" w:rsidR="00A56F06" w:rsidRDefault="00A56F06">
        <w:pPr>
          <w:pStyle w:val="Footer"/>
          <w:jc w:val="center"/>
        </w:pPr>
        <w:r w:rsidRPr="00A56F06">
          <w:rPr>
            <w:sz w:val="20"/>
          </w:rPr>
          <w:fldChar w:fldCharType="begin"/>
        </w:r>
        <w:r w:rsidRPr="00A56F06">
          <w:rPr>
            <w:sz w:val="20"/>
          </w:rPr>
          <w:instrText xml:space="preserve"> PAGE   \* MERGEFORMAT </w:instrText>
        </w:r>
        <w:r w:rsidRPr="00A56F06">
          <w:rPr>
            <w:sz w:val="20"/>
          </w:rPr>
          <w:fldChar w:fldCharType="separate"/>
        </w:r>
        <w:r w:rsidR="00580274">
          <w:rPr>
            <w:noProof/>
            <w:sz w:val="20"/>
          </w:rPr>
          <w:t>2</w:t>
        </w:r>
        <w:r w:rsidRPr="00A56F06">
          <w:rPr>
            <w:noProof/>
            <w:sz w:val="20"/>
          </w:rPr>
          <w:fldChar w:fldCharType="end"/>
        </w:r>
      </w:p>
    </w:sdtContent>
  </w:sdt>
  <w:p w14:paraId="1ED58AD6" w14:textId="77777777" w:rsidR="00A56F06" w:rsidRDefault="00A5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99C3" w14:textId="77777777" w:rsidR="00740781" w:rsidRDefault="00740781" w:rsidP="0033734F">
      <w:r>
        <w:separator/>
      </w:r>
    </w:p>
  </w:footnote>
  <w:footnote w:type="continuationSeparator" w:id="0">
    <w:p w14:paraId="0232CBF3" w14:textId="77777777" w:rsidR="00740781" w:rsidRDefault="00740781" w:rsidP="0033734F">
      <w:r>
        <w:continuationSeparator/>
      </w:r>
    </w:p>
  </w:footnote>
  <w:footnote w:id="1">
    <w:p w14:paraId="11E38D19" w14:textId="02CA2F61" w:rsidR="0083688C" w:rsidRPr="0083688C" w:rsidRDefault="0083688C" w:rsidP="008368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62"/>
    </w:tblGrid>
    <w:tr w:rsidR="00CC55B9" w:rsidRPr="0033734F" w14:paraId="36EFB0CF" w14:textId="77777777" w:rsidTr="00CC55B9">
      <w:trPr>
        <w:trHeight w:val="713"/>
        <w:jc w:val="center"/>
      </w:trPr>
      <w:tc>
        <w:tcPr>
          <w:tcW w:w="5362" w:type="dxa"/>
          <w:hideMark/>
        </w:tcPr>
        <w:p w14:paraId="0E42E249" w14:textId="77777777" w:rsidR="00CC55B9" w:rsidRPr="0033734F" w:rsidRDefault="00CC55B9" w:rsidP="00CC55B9">
          <w:pPr>
            <w:snapToGrid w:val="0"/>
          </w:pPr>
          <w:r>
            <w:rPr>
              <w:noProof/>
              <w:lang w:val="en-US"/>
            </w:rPr>
            <w:drawing>
              <wp:inline distT="0" distB="0" distL="0" distR="0" wp14:anchorId="720C5676" wp14:editId="5E5DE81F">
                <wp:extent cx="3315970" cy="835025"/>
                <wp:effectExtent l="0" t="0" r="0" b="0"/>
                <wp:docPr id="3" name="Picture 3" descr="C:\Users\dplatnikov\Documents\Dimitar\flash 2020.12\Flash 2021\2027\ПВУ\BG\PNG\BG Финансирано от Европейския съюз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latnikov\Documents\Dimitar\flash 2020.12\Flash 2021\2027\ПВУ\BG\PNG\BG Финансирано от Европейския съюз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EC812" w14:textId="77777777" w:rsidR="0033734F" w:rsidRDefault="0033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1E2"/>
    <w:multiLevelType w:val="hybridMultilevel"/>
    <w:tmpl w:val="3E8CD3BA"/>
    <w:lvl w:ilvl="0" w:tplc="95320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5DA4"/>
    <w:multiLevelType w:val="hybridMultilevel"/>
    <w:tmpl w:val="A7422716"/>
    <w:lvl w:ilvl="0" w:tplc="115EB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46E3"/>
    <w:multiLevelType w:val="hybridMultilevel"/>
    <w:tmpl w:val="1FC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3217"/>
    <w:multiLevelType w:val="hybridMultilevel"/>
    <w:tmpl w:val="B17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85033">
    <w:abstractNumId w:val="1"/>
  </w:num>
  <w:num w:numId="2" w16cid:durableId="1135832483">
    <w:abstractNumId w:val="0"/>
  </w:num>
  <w:num w:numId="3" w16cid:durableId="161051261">
    <w:abstractNumId w:val="2"/>
  </w:num>
  <w:num w:numId="4" w16cid:durableId="16752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E"/>
    <w:rsid w:val="00016D6E"/>
    <w:rsid w:val="00026CCE"/>
    <w:rsid w:val="00053DFB"/>
    <w:rsid w:val="00093E0C"/>
    <w:rsid w:val="000A1EE6"/>
    <w:rsid w:val="000A6002"/>
    <w:rsid w:val="000B0AAB"/>
    <w:rsid w:val="000D0A20"/>
    <w:rsid w:val="000D3272"/>
    <w:rsid w:val="000F2AB1"/>
    <w:rsid w:val="00115753"/>
    <w:rsid w:val="00127634"/>
    <w:rsid w:val="00151779"/>
    <w:rsid w:val="001724B3"/>
    <w:rsid w:val="00173403"/>
    <w:rsid w:val="00193FB8"/>
    <w:rsid w:val="001C068F"/>
    <w:rsid w:val="001D07F1"/>
    <w:rsid w:val="00211D1F"/>
    <w:rsid w:val="00214F75"/>
    <w:rsid w:val="0023775C"/>
    <w:rsid w:val="002444F4"/>
    <w:rsid w:val="0027110D"/>
    <w:rsid w:val="00271621"/>
    <w:rsid w:val="00282596"/>
    <w:rsid w:val="002A63EC"/>
    <w:rsid w:val="002A7EF0"/>
    <w:rsid w:val="003105A6"/>
    <w:rsid w:val="00332F3B"/>
    <w:rsid w:val="0033734F"/>
    <w:rsid w:val="003710CD"/>
    <w:rsid w:val="003D6248"/>
    <w:rsid w:val="003D7032"/>
    <w:rsid w:val="0042665B"/>
    <w:rsid w:val="0044626E"/>
    <w:rsid w:val="004763EF"/>
    <w:rsid w:val="0052186C"/>
    <w:rsid w:val="0052292F"/>
    <w:rsid w:val="00546646"/>
    <w:rsid w:val="005517D4"/>
    <w:rsid w:val="00580274"/>
    <w:rsid w:val="005A761A"/>
    <w:rsid w:val="005F1690"/>
    <w:rsid w:val="006136A6"/>
    <w:rsid w:val="006212B6"/>
    <w:rsid w:val="00681167"/>
    <w:rsid w:val="00683201"/>
    <w:rsid w:val="006A0A41"/>
    <w:rsid w:val="006B20AD"/>
    <w:rsid w:val="006E640F"/>
    <w:rsid w:val="006E7502"/>
    <w:rsid w:val="006F1ED7"/>
    <w:rsid w:val="007213E6"/>
    <w:rsid w:val="00740781"/>
    <w:rsid w:val="00746A12"/>
    <w:rsid w:val="007470CE"/>
    <w:rsid w:val="00763C7B"/>
    <w:rsid w:val="007F5994"/>
    <w:rsid w:val="0081043C"/>
    <w:rsid w:val="00815E40"/>
    <w:rsid w:val="00835DAB"/>
    <w:rsid w:val="0083688C"/>
    <w:rsid w:val="00862E73"/>
    <w:rsid w:val="008850DF"/>
    <w:rsid w:val="008876F4"/>
    <w:rsid w:val="008900B6"/>
    <w:rsid w:val="008C6664"/>
    <w:rsid w:val="008F39DE"/>
    <w:rsid w:val="00903401"/>
    <w:rsid w:val="00905584"/>
    <w:rsid w:val="0095318F"/>
    <w:rsid w:val="009A44D2"/>
    <w:rsid w:val="009A6697"/>
    <w:rsid w:val="009E38C3"/>
    <w:rsid w:val="009F57B6"/>
    <w:rsid w:val="009F72DA"/>
    <w:rsid w:val="009F7B7A"/>
    <w:rsid w:val="00A2094B"/>
    <w:rsid w:val="00A27A0C"/>
    <w:rsid w:val="00A56F06"/>
    <w:rsid w:val="00AF4FD3"/>
    <w:rsid w:val="00B00C67"/>
    <w:rsid w:val="00B17E84"/>
    <w:rsid w:val="00B4253D"/>
    <w:rsid w:val="00B9187C"/>
    <w:rsid w:val="00B9523A"/>
    <w:rsid w:val="00BA1A2C"/>
    <w:rsid w:val="00BD1B0F"/>
    <w:rsid w:val="00C43202"/>
    <w:rsid w:val="00C81393"/>
    <w:rsid w:val="00C95DA5"/>
    <w:rsid w:val="00CA6C2C"/>
    <w:rsid w:val="00CC55B9"/>
    <w:rsid w:val="00D06B24"/>
    <w:rsid w:val="00D1348C"/>
    <w:rsid w:val="00D341BE"/>
    <w:rsid w:val="00D3663F"/>
    <w:rsid w:val="00D65359"/>
    <w:rsid w:val="00D67F9C"/>
    <w:rsid w:val="00D7032E"/>
    <w:rsid w:val="00DD09B0"/>
    <w:rsid w:val="00E00E58"/>
    <w:rsid w:val="00E30E80"/>
    <w:rsid w:val="00E44440"/>
    <w:rsid w:val="00E451FF"/>
    <w:rsid w:val="00E57948"/>
    <w:rsid w:val="00E62CCD"/>
    <w:rsid w:val="00E81ECE"/>
    <w:rsid w:val="00ED60D6"/>
    <w:rsid w:val="00EE5E82"/>
    <w:rsid w:val="00F03906"/>
    <w:rsid w:val="00F151CD"/>
    <w:rsid w:val="00F22031"/>
    <w:rsid w:val="00F2227B"/>
    <w:rsid w:val="00F22D59"/>
    <w:rsid w:val="00F2486C"/>
    <w:rsid w:val="00F3432F"/>
    <w:rsid w:val="00F4347A"/>
    <w:rsid w:val="00FA5B4E"/>
    <w:rsid w:val="00FB4150"/>
    <w:rsid w:val="00FB64FE"/>
    <w:rsid w:val="00FD1C0E"/>
    <w:rsid w:val="00FE4C15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7591D"/>
  <w15:docId w15:val="{72211BFF-F073-42E4-AA61-335090E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2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32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BCA2-EC79-4F21-A0D0-3250EC5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Kali</cp:lastModifiedBy>
  <cp:revision>25</cp:revision>
  <dcterms:created xsi:type="dcterms:W3CDTF">2023-06-03T13:35:00Z</dcterms:created>
  <dcterms:modified xsi:type="dcterms:W3CDTF">2023-07-10T15:25:00Z</dcterms:modified>
</cp:coreProperties>
</file>